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272026_050501.xml.htm"/>
      <w:bookmarkStart w:id="1" w:name="ksform405272026_050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Andrew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 SUITE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Alpine Income Property Trust, Inc.</w:t>
              </w:r>
            </w:hyperlink>
            <w:r>
              <w:rPr/>
              <w:t xml:space="preserve"> [ </w:t>
            </w:r>
            <w:r>
              <w:rPr>
                <w:rFonts w:ascii="Times;serif" w:hAnsi="Times;serif"/>
                <w:color w:val="0000FF"/>
                <w:sz w:val="24"/>
                <w:shd w:fill="FFFFFF" w:val="clear"/>
              </w:rPr>
              <w:t>PINE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19.3859</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weighted-average price. These shares were sold in multiple transactions at prices ranging from $19.315 to $19.41,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Andrew C. Richardson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969" TargetMode="External"/><Relationship Id="rId5" Type="http://schemas.openxmlformats.org/officeDocument/2006/relationships/hyperlink" Target="http://www.sec.gov/cgi-bin/browse-edgar?action=getcompany&amp;CIK=00017861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3528</Characters>
  <CharactersWithSpaces>4115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