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012026_040707.xml.htm"/>
      <w:bookmarkStart w:id="1" w:name="ksform407012026_0407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Richardson Andrew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1140 N. WILLIAMSON BLVD., SUITE 140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DAYTONA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32114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Alpine Income Property Trust, Inc.</w:t>
              </w:r>
            </w:hyperlink>
            <w:r>
              <w:rPr/>
              <w:t xml:space="preserve"> [ </w:t>
            </w:r>
            <w:r>
              <w:rPr>
                <w:rFonts w:ascii="Times;serif" w:hAnsi="Times;serif"/>
                <w:color w:val="0000FF"/>
                <w:sz w:val="24"/>
                <w:shd w:fill="FFFFFF" w:val="clear"/>
              </w:rPr>
              <w:t>PINE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9"/>
        <w:gridCol w:w="916"/>
        <w:gridCol w:w="785"/>
        <w:gridCol w:w="608"/>
        <w:gridCol w:w="348"/>
        <w:gridCol w:w="794"/>
        <w:gridCol w:w="445"/>
        <w:gridCol w:w="984"/>
        <w:gridCol w:w="1154"/>
        <w:gridCol w:w="993"/>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881</w:t>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19.8555</w:t>
            </w:r>
            <w:r>
              <w:rPr>
                <w:rFonts w:ascii="Times;serif" w:hAnsi="Times;serif"/>
                <w:color w:val="008000"/>
                <w:position w:val="7"/>
                <w:sz w:val="16"/>
                <w:sz w:val="20"/>
                <w:shd w:fill="FFFFFF" w:val="clear"/>
              </w:rPr>
              <w:t>(1)</w:t>
            </w:r>
            <w:r>
              <w:rPr/>
              <w:t xml:space="preserve"> </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10,425</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issued to the Reporting Person as the equity component of his Q2 2026 quarterly retainer fee (the value of such component being approximately $17,500), pursuant to the Issuer's Non-Employee Director Compensation Policy (the "Policy") adopted by the Issuer's board of directors on February 3, 2020 (last amended January 30, 2025). Pursuant to the Policy, the share price utilized to calculate the number of shares issued was the 20-day trailing average closing price as of the last business day of the calendar quarter, or $19.85550.</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E. Smith, attorney-in-fact for Andrew C. Richardson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58969" TargetMode="External"/><Relationship Id="rId5" Type="http://schemas.openxmlformats.org/officeDocument/2006/relationships/hyperlink" Target="http://www.sec.gov/cgi-bin/browse-edgar?action=getcompany&amp;CIK=000178611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660</Words>
  <Characters>3573</Characters>
  <CharactersWithSpaces>4174</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